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>附</w:t>
      </w:r>
      <w:r>
        <w:rPr>
          <w:rFonts w:hint="eastAsia" w:ascii="仿宋_GB2312" w:hAnsi="仿宋" w:eastAsia="仿宋_GB2312" w:cs="仿宋_GB2312"/>
          <w:sz w:val="24"/>
          <w:szCs w:val="24"/>
          <w:u w:val="single"/>
        </w:rPr>
        <w:t>件</w:t>
      </w:r>
      <w:r>
        <w:rPr>
          <w:rFonts w:ascii="仿宋_GB2312" w:hAnsi="仿宋" w:eastAsia="仿宋_GB2312" w:cs="仿宋_GB2312"/>
          <w:sz w:val="24"/>
          <w:szCs w:val="24"/>
          <w:u w:val="single"/>
        </w:rPr>
        <w:t>3</w:t>
      </w:r>
      <w:r>
        <w:rPr>
          <w:rFonts w:hint="eastAsia" w:ascii="仿宋_GB2312" w:hAnsi="仿宋" w:eastAsia="仿宋_GB2312" w:cs="仿宋_GB2312"/>
          <w:sz w:val="24"/>
          <w:szCs w:val="24"/>
          <w:u w:val="single"/>
        </w:rPr>
        <w:t>：</w:t>
      </w:r>
    </w:p>
    <w:p>
      <w:pPr>
        <w:snapToGrid w:val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第五届“京东物流杯”广东省大学生物流创新创业设计大赛 </w:t>
      </w:r>
    </w:p>
    <w:p>
      <w:pPr>
        <w:snapToGrid w:val="0"/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bCs/>
          <w:sz w:val="28"/>
          <w:szCs w:val="28"/>
        </w:rPr>
        <w:t>初赛复赛评审评分表</w:t>
      </w:r>
      <w:r>
        <w:rPr>
          <w:rFonts w:ascii="仿宋_GB2312" w:hAnsi="仿宋" w:eastAsia="仿宋_GB2312" w:cs="仿宋_GB2312"/>
          <w:b/>
          <w:bCs/>
          <w:sz w:val="28"/>
          <w:szCs w:val="28"/>
        </w:rPr>
        <w:t>--</w:t>
      </w:r>
      <w:r>
        <w:rPr>
          <w:rFonts w:hint="eastAsia" w:ascii="仿宋_GB2312" w:hAnsi="仿宋" w:eastAsia="仿宋_GB2312" w:cs="仿宋_GB2312"/>
          <w:b/>
          <w:bCs/>
          <w:sz w:val="28"/>
          <w:szCs w:val="28"/>
        </w:rPr>
        <w:t>创新设计</w:t>
      </w:r>
    </w:p>
    <w:p>
      <w:pPr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作品编号：</w:t>
      </w:r>
    </w:p>
    <w:tbl>
      <w:tblPr>
        <w:tblStyle w:val="2"/>
        <w:tblW w:w="88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577"/>
        <w:gridCol w:w="6377"/>
        <w:gridCol w:w="8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734" w:hRule="atLeast"/>
          <w:tblHeader/>
          <w:jc w:val="center"/>
        </w:trPr>
        <w:tc>
          <w:tcPr>
            <w:tcW w:w="157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指标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（分值）</w:t>
            </w:r>
          </w:p>
        </w:tc>
        <w:tc>
          <w:tcPr>
            <w:tcW w:w="637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指标说明</w:t>
            </w:r>
          </w:p>
        </w:tc>
        <w:tc>
          <w:tcPr>
            <w:tcW w:w="86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选题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15%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选题清晰明确，问题把握准确，重点突出，没有歧义（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选题紧贴我国物流发展实践情况，具有一定前瞻性（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提出的解决方案对现实问题的分析深入、明确、具体，针对性强（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创新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30%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方案有理念、方法、技术手段等方面创新，或有独立见解（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创新理念符合参照企业或物流行业实际情况，有应用价值（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方案有较大推广价值（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内容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20%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方案为综合解决现实运营中的系列问题的整体方案，整体效果好（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方案具有完整性，提出问题、分析问题提、解决问题各环节均具备，方案在设计内容上无明显的错误（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方案中的所有文字描述、图表、软件等互相支持，共同解决所确定的问题（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方案涉及内容实际而深入，具一定的技术与组织难度（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设计方法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25%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忠于物流企业运作的事实，能够做出一定假设，所作出的假设符合国内物流业和企业的实际（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有明确、适用的设计方法，采用了定性和定量手段，根据调研的数据和事实建立实用的模型，设计方法科学、严谨（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能够运用物流专业知识和技能，能利用信息技术解决企业问题（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综合应用经济、管理、工程、技术等不同领域的技术和方法进行设计，采用了较先进的设计方法（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解决方案中有计算机软件、工程设计图纸、成套的作业流程图、完整的数学模型、全面的财务分析表格、路径优化图等（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规范性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10%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方案合理应用非文字要素，如图表、软件、数学模型等，方案文字、图表、软件、设计图纸等符合国家规范（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提交评审的文档核材料齐全、装订整齐、规范、美观、软件界面友好、图纸整洁，方案逻辑严密（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709" w:hRule="atLeast"/>
          <w:jc w:val="center"/>
        </w:trPr>
        <w:tc>
          <w:tcPr>
            <w:tcW w:w="1577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评语</w:t>
            </w:r>
          </w:p>
        </w:tc>
        <w:tc>
          <w:tcPr>
            <w:tcW w:w="6377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签名：</w:t>
            </w:r>
          </w:p>
          <w:p>
            <w:pPr>
              <w:spacing w:line="440" w:lineRule="exact"/>
              <w:ind w:left="3840" w:right="480" w:hanging="3840" w:hangingChars="160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 xml:space="preserve">                            年   月    日</w:t>
            </w:r>
          </w:p>
        </w:tc>
        <w:tc>
          <w:tcPr>
            <w:tcW w:w="866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jZhYzVjY2I3MDViOWExMzVlZDI4YjdiMjhjYWMifQ=="/>
  </w:docVars>
  <w:rsids>
    <w:rsidRoot w:val="5C872847"/>
    <w:rsid w:val="5C87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2022-09-26T10:42:00Z</dcterms:created>
  <dc:creator>十二</dc:creator>
  <cp:lastModifiedBy>十二</cp:lastModifiedBy>
  <dcterms:modified xsi:type="dcterms:W3CDTF">2022-09-26T10:43:20Z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F89CE599A07A4721ABCDE3D06E578E06</vt:lpwstr>
  </property>
</Properties>
</file>